
<file path=[Content_Types].xml><?xml version="1.0" encoding="utf-8"?>
<Types xmlns="http://schemas.openxmlformats.org/package/2006/content-types">
  <Default Extension="rels" ContentType="application/vnd.openxmlformats-package.relationships+xml"/>
  <Default Extension="undefined" ContentType="application/octet-stream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88A84D" w14:textId="77777777" w:rsidR="00FF07E2" w:rsidRDefault="002A3CDE">
      <w:pPr>
        <w:pStyle w:val="Title"/>
      </w:pPr>
      <w:proofErr w:type="spellStart"/>
      <w:r>
        <w:t>思考題</w:t>
      </w:r>
      <w:proofErr w:type="spellEnd"/>
    </w:p>
    <w:p w14:paraId="7D88A84E" w14:textId="77777777" w:rsidR="00FF07E2" w:rsidRDefault="002A3CDE">
      <w:r>
        <w:t>Converted from PowerPoint. Original slides are followed by editable text.</w:t>
      </w:r>
    </w:p>
    <w:p w14:paraId="7D88A84F" w14:textId="77777777" w:rsidR="00FF07E2" w:rsidRDefault="002A3CDE">
      <w:pPr>
        <w:pStyle w:val="Heading1"/>
      </w:pPr>
      <w:r>
        <w:t>Slide 1</w:t>
      </w:r>
    </w:p>
    <w:p w14:paraId="7D88A850" w14:textId="77777777" w:rsidR="00FF07E2" w:rsidRDefault="002A3CDE">
      <w:r>
        <w:rPr>
          <w:noProof/>
        </w:rPr>
        <w:drawing>
          <wp:inline distT="0" distB="0" distL="0" distR="0" wp14:anchorId="7D88A854" wp14:editId="7D88A855">
            <wp:extent cx="5715000" cy="3219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88A851" w14:textId="77777777" w:rsidR="00FF07E2" w:rsidRDefault="002A3CDE">
      <w:r>
        <w:br w:type="page"/>
      </w:r>
    </w:p>
    <w:p w14:paraId="7D88A852" w14:textId="77777777" w:rsidR="00FF07E2" w:rsidRDefault="002A3CDE">
      <w:pPr>
        <w:pStyle w:val="Heading1"/>
      </w:pPr>
      <w:r>
        <w:lastRenderedPageBreak/>
        <w:t>Slide 2</w:t>
      </w:r>
    </w:p>
    <w:p w14:paraId="7D88A853" w14:textId="77777777" w:rsidR="00FF07E2" w:rsidRDefault="002A3CDE">
      <w:r>
        <w:rPr>
          <w:noProof/>
        </w:rPr>
        <w:drawing>
          <wp:inline distT="0" distB="0" distL="0" distR="0" wp14:anchorId="7D88A856" wp14:editId="7D88A857">
            <wp:extent cx="5715000" cy="3219450"/>
            <wp:effectExtent l="0" t="0" r="0" b="0"/>
            <wp:docPr id="1143311380" name="Picture 1143311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br w:type="page"/>
        <w:t xml:space="preserve">參考解答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以下為依本課內容整理的參考方向，可再配合個人經驗作反省與增補。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1. 無性與因果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遍計所執的「相無自性」是說：我們把事物誤認為獨立、固定、自性成立，這種所執的相本來不存在；並不是否定世俗中因緣和合的作用。日常可在情緒、得失與人我衝突中觀察：感受雖現起，仍由因緣而生、可隨因緣轉變。因此更應謹慎取捨善惡、承擔言行後果，不把「空」當作逃避因果的理由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2. 悲心的方向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趣寂聲聞主要以出離自苦、證得解脫為方向；大悲菩薩則不捨一切有情，發心求佛果以利他。檢視自己的修行時，可看是否只求自己平靜、少煩惱，或能在能力範圍內理解他人的苦、給予協助，並把所修善行回向一切有情。後者較接近大悲的發心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3. 常樂的意義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佛法所說的常樂，不是感官刺激或外在條件帶來的短暫愉悅，而是離惑、離苦後的安穩。這提醒我們：向外追逐快樂時，先辨認它是否依賴條件、是否會變壞與引生新的求不得苦。可練習少欲知足、觀察欲望生滅，並把重心轉向戒、定、慧所帶來的自在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4. 從不解到法淨信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聽聞甚深義時，不理解是正常的，不必急著排斥或恐懼。可先承認自己尚未通達，保持恭敬與開放；依善知識的次第反覆聽聞、閱讀可靠註釋、思惟緣起與因果，並在生活中驗證。如此，信心不是盲信，而是以正確聞思為基礎逐漸清淨、堅固的法淨信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5. 辨識法義與緣起空性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避免「從聞隨見」，須不只停留在文字表面，而要依教理脈絡辨明二諦與緣起。所謂「依他世俗有、圓成勝義有」，是說現象依因緣假名而有其世俗作用；其離遍計所執的真實性，才是勝義所顯。可透過完整聞思、請教具傳承的老師、以因果和緣起檢驗理解，避免把空性誤作一切皆無。</w:t>
      </w:r>
    </w:p>
    <w:p>
      <w:pPr>
        <w:spacing w:before="280" w:after="140"/>
      </w:pPr>
      <w:r>
        <w:rPr>
          <w:rFonts w:ascii="Arial" w:hAnsi="Arial" w:eastAsia="Microsoft JhengHei"/>
          <w:b/>
          <w:sz w:val="28"/>
          <w:szCs w:val="28"/>
        </w:rPr>
        <w:t xml:space="preserve">6. 五事俱足的補足</w:t>
      </w:r>
    </w:p>
    <w:p>
      <w:pPr>
        <w:spacing w:after="120" w:line="360" w:lineRule="auto"/>
      </w:pPr>
      <w:r>
        <w:rPr>
          <w:rFonts w:ascii="Arial" w:hAnsi="Arial" w:eastAsia="Microsoft JhengHei"/>
          <w:sz w:val="22"/>
          <w:szCs w:val="22"/>
        </w:rPr>
        <w:t xml:space="preserve">五事為：種上品善根、清淨諸障、成熟相續、多修勝解、積集福智。可誠實觀察自己目前最薄弱的一項：若善根不足，就穩定持戒、供養與服務；若障礙重，修懺悔與止惡；若相續未熟，耐心累積聞思；若勝解不足，反覆思惟法義；若福智不足，兼修布施、發願與聞思修。以一項具體、可持續的行動開始即可。</w:t>
      </w:r>
    </w:p>
    <w:sectPr w:rsidR="00FF07E2"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C6162"/>
    <w:multiLevelType w:val="hybridMultilevel"/>
    <w:tmpl w:val="88EE778C"/>
    <w:lvl w:ilvl="0" w:tplc="A65230CA">
      <w:start w:val="1"/>
      <w:numFmt w:val="bullet"/>
      <w:lvlText w:val="●"/>
      <w:lvlJc w:val="left"/>
      <w:pPr>
        <w:ind w:left="720" w:hanging="360"/>
      </w:pPr>
    </w:lvl>
    <w:lvl w:ilvl="1" w:tplc="0E3EB008">
      <w:start w:val="1"/>
      <w:numFmt w:val="bullet"/>
      <w:lvlText w:val="○"/>
      <w:lvlJc w:val="left"/>
      <w:pPr>
        <w:ind w:left="1440" w:hanging="360"/>
      </w:pPr>
    </w:lvl>
    <w:lvl w:ilvl="2" w:tplc="AC7A679C">
      <w:start w:val="1"/>
      <w:numFmt w:val="bullet"/>
      <w:lvlText w:val="■"/>
      <w:lvlJc w:val="left"/>
      <w:pPr>
        <w:ind w:left="2160" w:hanging="360"/>
      </w:pPr>
    </w:lvl>
    <w:lvl w:ilvl="3" w:tplc="6B121CB0">
      <w:start w:val="1"/>
      <w:numFmt w:val="bullet"/>
      <w:lvlText w:val="●"/>
      <w:lvlJc w:val="left"/>
      <w:pPr>
        <w:ind w:left="2880" w:hanging="360"/>
      </w:pPr>
    </w:lvl>
    <w:lvl w:ilvl="4" w:tplc="D40C5E82">
      <w:start w:val="1"/>
      <w:numFmt w:val="bullet"/>
      <w:lvlText w:val="○"/>
      <w:lvlJc w:val="left"/>
      <w:pPr>
        <w:ind w:left="3600" w:hanging="360"/>
      </w:pPr>
    </w:lvl>
    <w:lvl w:ilvl="5" w:tplc="FAD69DEE">
      <w:start w:val="1"/>
      <w:numFmt w:val="bullet"/>
      <w:lvlText w:val="■"/>
      <w:lvlJc w:val="left"/>
      <w:pPr>
        <w:ind w:left="4320" w:hanging="360"/>
      </w:pPr>
    </w:lvl>
    <w:lvl w:ilvl="6" w:tplc="35B8600C">
      <w:start w:val="1"/>
      <w:numFmt w:val="bullet"/>
      <w:lvlText w:val="●"/>
      <w:lvlJc w:val="left"/>
      <w:pPr>
        <w:ind w:left="5040" w:hanging="360"/>
      </w:pPr>
    </w:lvl>
    <w:lvl w:ilvl="7" w:tplc="3C7E0BA0">
      <w:start w:val="1"/>
      <w:numFmt w:val="bullet"/>
      <w:lvlText w:val="●"/>
      <w:lvlJc w:val="left"/>
      <w:pPr>
        <w:ind w:left="5760" w:hanging="360"/>
      </w:pPr>
    </w:lvl>
    <w:lvl w:ilvl="8" w:tplc="5D26DE36">
      <w:start w:val="1"/>
      <w:numFmt w:val="bullet"/>
      <w:lvlText w:val="●"/>
      <w:lvlJc w:val="left"/>
      <w:pPr>
        <w:ind w:left="6480" w:hanging="360"/>
      </w:pPr>
    </w:lvl>
  </w:abstractNum>
  <w:num w:numId="1" w16cid:durableId="15123769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07E2"/>
    <w:rsid w:val="002A3CDE"/>
    <w:rsid w:val="00323750"/>
    <w:rsid w:val="00D60349"/>
    <w:rsid w:val="00FF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8A84D"/>
  <w15:docId w15:val="{3A114B1D-7DC0-4ACC-B28C-105317EA6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undefined"/><Relationship Id="rId5" Type="http://schemas.openxmlformats.org/officeDocument/2006/relationships/image" Target="media/image1.undefined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Steve Hung</cp:lastModifiedBy>
  <cp:revision>1</cp:revision>
  <dcterms:created xsi:type="dcterms:W3CDTF">2026-10-14T18:17:00Z</dcterms:created>
  <dcterms:modified xsi:type="dcterms:W3CDTF">2026-10-14T18:46:00Z</dcterms:modified>
</cp:coreProperties>
</file>